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9A" w:rsidRPr="00911A9A" w:rsidRDefault="00911A9A" w:rsidP="00911A9A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</w:pPr>
      <w:r w:rsidRPr="00911A9A"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  <w:fldChar w:fldCharType="begin"/>
      </w:r>
      <w:r w:rsidRPr="00911A9A"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  <w:instrText xml:space="preserve"> HYPERLINK "https://otgovori.info/instruktaj-lyatna-vakancia-pluvane/" </w:instrText>
      </w:r>
      <w:r w:rsidRPr="00911A9A"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  <w:fldChar w:fldCharType="separate"/>
      </w:r>
      <w:r w:rsidRPr="00911A9A"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  <w:t>Инструктаж за безопасността през лятната ваканция и опасностите при къпане и плуване</w:t>
      </w:r>
      <w:r w:rsidRPr="00911A9A"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  <w:fldChar w:fldCharType="end"/>
      </w:r>
    </w:p>
    <w:p w:rsidR="00911A9A" w:rsidRPr="00911A9A" w:rsidRDefault="00911A9A" w:rsidP="00911A9A">
      <w:pPr>
        <w:spacing w:before="100" w:beforeAutospacing="1" w:after="480" w:line="240" w:lineRule="auto"/>
        <w:rPr>
          <w:rFonts w:ascii="Arial" w:eastAsia="Times New Roman" w:hAnsi="Arial" w:cs="Arial"/>
          <w:color w:val="111111"/>
          <w:sz w:val="24"/>
          <w:szCs w:val="24"/>
          <w:lang w:eastAsia="bg-BG"/>
        </w:rPr>
      </w:pP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>1. Да се спазват стриктно правилата за движение по пътищата изучени в определените часове: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– пресичането на улиците да става на определените за това места;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– да се спазват светлинните сигнали на светофарите;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– да се управляват технически изправни велосипеди и мотопеди;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 xml:space="preserve">– да не се играе в близост до </w:t>
      </w:r>
      <w:proofErr w:type="spellStart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>охраняеми</w:t>
      </w:r>
      <w:proofErr w:type="spellEnd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 xml:space="preserve"> и </w:t>
      </w:r>
      <w:proofErr w:type="spellStart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>неохраняеми</w:t>
      </w:r>
      <w:proofErr w:type="spellEnd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 xml:space="preserve"> жп прелези и мостове;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– забранява се качването в превозни средства, които не са предназначени за превоз на пътници и в превозни средства при непознати лица.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 xml:space="preserve">2. Абсолютно се забранява къпането във водни площи, които са </w:t>
      </w:r>
      <w:proofErr w:type="spellStart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>неохраняеми</w:t>
      </w:r>
      <w:proofErr w:type="spellEnd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 xml:space="preserve"> и не са определени за тази цел/езера, язовири, реки, плажове и др./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3. При излизане сред природата, абсолютно се забранява консумирането на диворастящи растения/плодове, гъби и др./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4. При игри на открито да бъде засилено вниманието срещу ухапване от насекоми, кърлежи, влечуги и други.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 xml:space="preserve">5. Абсолютно се забранява играта с огън и други лесно </w:t>
      </w:r>
      <w:proofErr w:type="spellStart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>запалими</w:t>
      </w:r>
      <w:proofErr w:type="spellEnd"/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t xml:space="preserve"> и избухливи вещества-бомбички, пиратки, спирт, бензин, нафта и други.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6. Абсолютно се забранява употребата на цигари, алкохол, наркотични вещества и други.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7. Абсолютно се забранява разговарянето с непознати хора и приемането от тях на предмети, хранителни продукти /лакомства/ и други.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8. Да се поддържа личната хигиена, като се спазват хигиенните изисквания и се работи за закаляването на организма през лятото.</w:t>
      </w:r>
      <w:r w:rsidRPr="00911A9A">
        <w:rPr>
          <w:rFonts w:ascii="Arial" w:eastAsia="Times New Roman" w:hAnsi="Arial" w:cs="Arial"/>
          <w:color w:val="111111"/>
          <w:sz w:val="24"/>
          <w:szCs w:val="24"/>
          <w:lang w:eastAsia="bg-BG"/>
        </w:rPr>
        <w:br/>
        <w:t>9. Да се води здравословен начин на живот, съобразно метеорологичните особености през лятото.</w:t>
      </w:r>
    </w:p>
    <w:p w:rsidR="00911A9A" w:rsidRPr="00911A9A" w:rsidRDefault="00911A9A" w:rsidP="00911A9A">
      <w:pPr>
        <w:spacing w:before="100" w:beforeAutospacing="1" w:after="48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bg-BG"/>
        </w:rPr>
      </w:pPr>
      <w:r w:rsidRPr="00911A9A">
        <w:rPr>
          <w:rFonts w:ascii="Arial" w:eastAsia="Times New Roman" w:hAnsi="Arial" w:cs="Arial"/>
          <w:b/>
          <w:bCs/>
          <w:color w:val="111111"/>
          <w:sz w:val="24"/>
          <w:szCs w:val="24"/>
          <w:lang w:eastAsia="bg-BG"/>
        </w:rPr>
        <w:t>ОПАСНОСТИ ПРИ КЪПАНЕ И ПЛУВАНЕ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7652"/>
      </w:tblGrid>
      <w:tr w:rsidR="00911A9A" w:rsidRPr="00911A9A" w:rsidTr="00911A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bg-BG"/>
              </w:rPr>
              <w:t>Опасност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bg-BG"/>
              </w:rPr>
              <w:t xml:space="preserve">Разпознаване и начини за оказване на помощ и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bg-BG"/>
              </w:rPr>
              <w:t>самопомощ</w:t>
            </w:r>
            <w:proofErr w:type="spellEnd"/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Дънни ями и прагове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Срещат се в морето, реките и язовирите. Пропадането в тях става внезапно, предизвиква уплаха, преминаваща в паника и давенето започва. На охраняваните плажове дънните ями и прагове се обозначават с червени плаващи знаци (шамандури) и указателни табели на брега. Тези места не бива да се използват за къпане. Ако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неумеeщ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да плува човек пропадне в дънна яма или праг може, запазвайки самообладание, да си помогне и сам, като с отскоци от дъното се придвижи към плиткото.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Плуване и скокове в непознати </w:t>
            </w: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води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 xml:space="preserve">Основна опасност представляват подводните скали, намиращи се под водата различни остри предмети, неизкоренени дървета при завиряването на някои язовири. Сблъсъкът с тях при скок, може да причини сериозни травми, които да причинят загуба на съзнание и </w:t>
            </w: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удавяне. Преди да влезете във водата проверете дали е достатъчно дълбоко и дали няма опасни предмети под водата. </w:t>
            </w:r>
            <w:r w:rsidRPr="00911A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bg-BG"/>
              </w:rPr>
              <w:t>Запомнете – добре е да избягват такива места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Плуване и къпане след обилно хранене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След хранене стомахът е разширен. Храносмилателните органи се снабдяват по-обилно с кръв за сметка на мозъка и крайниците. Недостатъчното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кръвоснабдяване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на мозъка, съчетано с интензивните движения, охлаждането на тялото и налягането на водата върху стомаха може да предизвикат прилошаване, повръщане и дори загуба на съзнание, а попадането на стомашно съдържимо в дихателните пътища, води до задушаване и удавяне. След обилно хранене трябва да се изчака около един, два часа.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Използването на алкохол и наркотични средства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Много водни инциденти се дължат на употребата на алкохол и различни наркотични средства. И в двата случая хората губят реална представа за опасностите и надценяват собствените си сили и възможности. Плуването след употреба на алкохол или наркотични средства винаги води до трагични последици. Затова не се препоръчва влизането във водата по-рано от 8 часа след поемането на алкохол или други упойващи средства.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Студена вода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Рязката промяна на температурата на тялото при попадането на човек в студена вода може да предизвика шок с рефлекторно спиране на дишането. В някои случаи се стига до загуба на съзнание и настъпване на внезапна смърт. Това се получава и при рязко потапяне със силно загрято и изпотено тяло, дори във вода, която не е толкова студена. Във водоеми без вертикална циркулация на водата, горният слой следствие на слънчевото греене се затопля, но в дълбочина водата остава студена. Същите опасности грозят хората и при скокове или гмуркане в такива водоеми. За да се избегнат посочените опасности, влизането във водата трябва да става постепенно, като предварително намокрим лицето, крайниците и сърдечната област. Престоят във водата не може да бъде строго определен за всички. Първоначалните студени тръпки след първото потапяне се сменят у повечето хора с приятно усещане в новата среда. Появата на втори тръпки и неудоволствие, които за едни идват след минути, а при други след час и повече, са сигнал за излизане от водата.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Умора и изтощение-надценяване на собствените плувни </w:t>
            </w: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умения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 xml:space="preserve">Инцидент настъпва след продължително плуване без почивка и особено, ако водата е студена. Ако не последва своевременно излизане от водата, настъпва умора, възниква опасност от получаване на мускулни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крампи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преохлаждане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на организма, а при крайно изтощение – удавяне. При отдалечаване от брега трябва да се плува в група, което дава възможност за оказване на взаимопомощ при нужда. </w:t>
            </w: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В такива случаи е задължително групата да се придружава от спасителна лодка. Това се налага от вероятността в даден момент повече от един човек да се нуждае от помощ.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 xml:space="preserve">Мускулни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крампи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(схващания)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Представляват неволево болезнено съкращаване (гърч) на отделен мускул или мускулна група. Получават се след рязко усилие или при преумора, особено ако са съчетани с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преохлаждане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. Мускулът е свит, твърд и болезнен, като най-често се засягат мускулите на стъпалото,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подбедрицата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и бедрото, по-рядко на ръцете и още по-рядко на врата и корема. Опасността идва от внезапната и силна болка и невъзможността на мускула да изпълнява функциите си докато трае гърчът. Силната болка и обездвижването на крайника често водят до паника и давене. Предпазването от такива инциденти изисква добро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вработване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на всички мускулни групи преди плуване и избягване на преумора и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преохлаждане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. До известна степен смяната на стила на плуване отдалечава момента на настъпване на мускулните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крампи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. Ако въпреки това се получи гърч, трябва да се запази самообладание. При поемане на въздух човешкото тяло има положителна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плаваемост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, която позволява задържане на водната повърхност без плувни движения. С една или две ръце крайникът се сгъва и разгъва с цел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неколкократно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разтягане на мускула до неговото отпускане. След това мускулът се размачква. Убождането с остри предмети не помага, а допълнително дразни мускула и още повече задълбочава гърча.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Течения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Теченията представляват движение на водата. Образуват се освен от естественото движение на водата в реките, от вятъра, вълнението, формата на брега и релефа на дъното. Силно течение се образува и при изтичане на вода от преливниците на язовирите. Посоката им може да бъде различна – от брега, косо или успоредно на него и да се мени според температурата на водата, посоката на вятъра и релефа на дъното. За разлика от реките, в морето и някои големи вътрешни водоеми теченията не винаги се виждат от брега. При скорост на течението, по-голяма от скоростта на плувеца, той може да бъде отнесен далече от брега, ако се опитва да плува срещу течението. Попаднал в такава ситуация, човек трябва да плува косо срещу течението докато излезе от него и след това – към брега.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Водовъртеж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Водовъртежите представляват кръгово фуниеобразно движение на водата към дъното. Причиняват се най-често от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завихряне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на водата след среща на препятствие в течащи води или при вятър и вълнение, както и при мястото на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водовземане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в язовирите. Попадането във водовъртеж е изключително опасно, тъй като засмуква къпещите се в дълбочина. Къпането и плуването на места, където е вероятно образуването на водовъртежи, и в близост до язовирните стени е забранено. Излизането от водовъртеж е възможно по естествения път </w:t>
            </w: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на водата – към дъното, след което встрани и към повърхността. Това обаче е възможно само при много добри умения за гмуркане и плуване под вода.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 xml:space="preserve">Вълнения и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прибой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Вълните се образуват от вятъра при триенето на въздушните маси по повърхността на водата. Колкото по-силен е вятърът, толкова по-мощни са вълните, които се образуват. Вълните в движението си към брега достигат плитчините, които забавят долната им част, горната ги изпреварва, пречупва се и се разбива. Така се образува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прибоят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. При силно вълнение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прибоят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има голяма ударна сила, която може да повали човек, да го удари в дъното, да го влачи и да му причини контузии. Това в много случаи води до удавяне. След достигането до брега водните маси се връщат обратно и предизвикват мощен воден поток устремен към морето. Този поток сякаш „измъква” дъното под краката на къпещите се и прави излизането на брега трудно, това е т.н.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придънно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течение. Спазвайте флаговата сигнализация! За да преодолеете </w:t>
            </w:r>
            <w:proofErr w:type="spellStart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прибойната</w:t>
            </w:r>
            <w:proofErr w:type="spellEnd"/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 вълна при влизане се гмуркате под нея, а излизането става използвайки вълната, като се опитвате „да хванете вълната“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Надуваеми предмети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Използването на надуваеми лодки, дюшеци, пояси, топки и др. създават у хората, неумеещи да плуват добре, измамно чувство за сигурност и отслабват естествения им инстинкт за самосъхранение. Тези предмети са много леки, имат малко сцепление с водата, лесно се преобръщат и биват отнасяни от вятъра. Опасността идва от вероятността поради непредпазливо движение вълна, причинена от преминаващ наблизо плавателен съд, или внезапен порив на вятъра човек да загуби контакт с измамния източник на сигурност и да започне да се дави. Ползването на надуваемите предмети се препоръчва само до дълбочина, от която всеки може да излезе сам. Използването им е забранено при жълт флаг.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Плавателни съдове – претоварване, плуване в близост до плавателни съдове, използване на самоделни и нестандартни средства.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 </w:t>
            </w:r>
          </w:p>
          <w:p w:rsidR="00911A9A" w:rsidRPr="00911A9A" w:rsidRDefault="00911A9A" w:rsidP="00911A9A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 </w:t>
            </w:r>
          </w:p>
          <w:p w:rsidR="00911A9A" w:rsidRPr="00911A9A" w:rsidRDefault="00911A9A" w:rsidP="00911A9A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 xml:space="preserve">При преобръщане на плавателен съд, хората трябва да останат при него, защото той ще им служи, като поддържащо плавателно средство и по-лесно могат да бъдат забелязани от брега. Всички плавателни съдове задължително трябва да са оборудвани със спасителни ризи според броя на пасажерите и екипажа. При упражняването на водни спортове за развлечения – водни ски, водни мотори /джетове/, теглене на парашут, ветроходство и др. поставянето на спасителни ризи или жилетки е задължително. При инцидент и загуба на съзнание те </w:t>
            </w: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задържат пострадалия на повърхността на водата до оказването на помощ.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lastRenderedPageBreak/>
              <w:t>Опасности в басейна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Блъскането и хвърлянето на хора във водата, боричкането с потапяне на другия и други подобни „весели игри“; понякога имат съвсем невесел край. Плуването под местата за скокове може да доведе до сериозни травми и удавяне. Дори безобидната „гоненица“; около плувните басейни, често води до подхлъзване и контузии. Сериозна опасност крие плуването под вода, което е и една от най-честите причини за удавяния в басейн. Спазвайте указанията на спасителя!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Тинесто дъно, водорасли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Освен в морето се срещат и в сладките води на вътрешните водоеми. Те създават неприятни усещания при допир до тялото, но могат да бъдат и опасни при заплитане в тях. Попаднал на такова място, човек може да го преодолее с леки плувни движения по гръб.</w:t>
            </w:r>
          </w:p>
        </w:tc>
      </w:tr>
      <w:tr w:rsidR="00911A9A" w:rsidRPr="00911A9A" w:rsidTr="00911A9A">
        <w:trPr>
          <w:tblCellSpacing w:w="15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Напоителни канали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1A9A" w:rsidRPr="00911A9A" w:rsidRDefault="00911A9A" w:rsidP="0091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</w:pPr>
            <w:r w:rsidRPr="00911A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bg-BG"/>
              </w:rPr>
              <w:t>Всяка година жертви на водата в напоителните канали стават много хора. Трябва да се знае, че те са дълбоки, бързо течащи и излизането от тях е изключително трудно, защото бреговете им са много стръмни и в подводната си част – хлъзгави. Къпането и плуването в напоителните канали е забранено!</w:t>
            </w:r>
          </w:p>
        </w:tc>
      </w:tr>
    </w:tbl>
    <w:p w:rsidR="00CB36D7" w:rsidRDefault="00CB36D7"/>
    <w:sectPr w:rsidR="00CB36D7" w:rsidSect="00CB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A9A"/>
    <w:rsid w:val="00911A9A"/>
    <w:rsid w:val="00CB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D7"/>
  </w:style>
  <w:style w:type="paragraph" w:styleId="1">
    <w:name w:val="heading 1"/>
    <w:basedOn w:val="a"/>
    <w:link w:val="10"/>
    <w:uiPriority w:val="9"/>
    <w:qFormat/>
    <w:rsid w:val="00911A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1A9A"/>
    <w:rPr>
      <w:b/>
      <w:bCs/>
    </w:rPr>
  </w:style>
  <w:style w:type="paragraph" w:styleId="a4">
    <w:name w:val="Normal (Web)"/>
    <w:basedOn w:val="a"/>
    <w:uiPriority w:val="99"/>
    <w:unhideWhenUsed/>
    <w:rsid w:val="00911A9A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911A9A"/>
    <w:rPr>
      <w:rFonts w:ascii="inherit" w:eastAsia="Times New Roman" w:hAnsi="inherit" w:cs="Times New Roman"/>
      <w:kern w:val="36"/>
      <w:sz w:val="54"/>
      <w:szCs w:val="54"/>
      <w:lang w:eastAsia="bg-BG"/>
    </w:rPr>
  </w:style>
  <w:style w:type="character" w:styleId="a5">
    <w:name w:val="Hyperlink"/>
    <w:basedOn w:val="a0"/>
    <w:uiPriority w:val="99"/>
    <w:semiHidden/>
    <w:unhideWhenUsed/>
    <w:rsid w:val="00911A9A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1690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2021-07-07T08:16:00Z</dcterms:created>
  <dcterms:modified xsi:type="dcterms:W3CDTF">2021-07-07T08:17:00Z</dcterms:modified>
</cp:coreProperties>
</file>